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F90" w:rsidRPr="004D4F90" w:rsidRDefault="004D4F90" w:rsidP="004D4F90">
      <w:pPr>
        <w:spacing w:after="0" w:line="240" w:lineRule="auto"/>
        <w:jc w:val="center"/>
        <w:rPr>
          <w:b/>
          <w:sz w:val="36"/>
          <w:szCs w:val="36"/>
        </w:rPr>
      </w:pPr>
      <w:r w:rsidRPr="004D4F90">
        <w:rPr>
          <w:b/>
          <w:sz w:val="36"/>
          <w:szCs w:val="36"/>
        </w:rPr>
        <w:t xml:space="preserve">Projektfinanszírozás </w:t>
      </w:r>
    </w:p>
    <w:p w:rsidR="00264B20" w:rsidRDefault="004D4F90" w:rsidP="004D4F90">
      <w:pPr>
        <w:spacing w:after="0" w:line="240" w:lineRule="auto"/>
        <w:jc w:val="center"/>
        <w:rPr>
          <w:i/>
          <w:sz w:val="28"/>
          <w:szCs w:val="28"/>
        </w:rPr>
      </w:pPr>
      <w:r w:rsidRPr="004D4F90">
        <w:rPr>
          <w:i/>
          <w:sz w:val="28"/>
          <w:szCs w:val="28"/>
        </w:rPr>
        <w:t>4. fejezet</w:t>
      </w:r>
    </w:p>
    <w:p w:rsidR="004D4F90" w:rsidRPr="00D056A2" w:rsidRDefault="004D4F90" w:rsidP="004D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4F90" w:rsidRPr="00D056A2" w:rsidRDefault="004D4F90" w:rsidP="004D4F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56A2">
        <w:rPr>
          <w:rFonts w:ascii="Times New Roman" w:hAnsi="Times New Roman" w:cs="Times New Roman"/>
          <w:b/>
          <w:sz w:val="24"/>
          <w:szCs w:val="24"/>
        </w:rPr>
        <w:t>4. pénzügyi terv</w:t>
      </w:r>
    </w:p>
    <w:p w:rsidR="004D4F90" w:rsidRPr="00D056A2" w:rsidRDefault="004D4F90" w:rsidP="004D4F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>Fogalma</w:t>
      </w:r>
    </w:p>
    <w:p w:rsidR="004D4F90" w:rsidRPr="00D056A2" w:rsidRDefault="004D4F90" w:rsidP="004D4F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>Mérleg terv</w:t>
      </w:r>
    </w:p>
    <w:p w:rsidR="004D4F90" w:rsidRPr="00D056A2" w:rsidRDefault="00FF1B32" w:rsidP="004D4F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56A2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1506975</wp:posOffset>
                </wp:positionH>
                <wp:positionV relativeFrom="paragraph">
                  <wp:posOffset>107051</wp:posOffset>
                </wp:positionV>
                <wp:extent cx="586596" cy="0"/>
                <wp:effectExtent l="0" t="76200" r="23495" b="114300"/>
                <wp:wrapNone/>
                <wp:docPr id="2" name="Egyenes összekötő nyíll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59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A2A7D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18.65pt;margin-top:8.45pt;width:46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" strokecolor="black [3040]">
                <v:stroke endarrow="open"/>
              </v:shape>
            </w:pict>
          </mc:Fallback>
        </mc:AlternateContent>
      </w:r>
      <w:r w:rsidR="004D4F90" w:rsidRPr="00D056A2">
        <w:rPr>
          <w:rFonts w:ascii="Times New Roman" w:hAnsi="Times New Roman" w:cs="Times New Roman"/>
          <w:sz w:val="24"/>
          <w:szCs w:val="24"/>
        </w:rPr>
        <w:t>Eredmény terv</w:t>
      </w:r>
      <w:r w:rsidR="004D4F90" w:rsidRPr="00D056A2">
        <w:rPr>
          <w:rFonts w:ascii="Times New Roman" w:hAnsi="Times New Roman" w:cs="Times New Roman"/>
          <w:sz w:val="24"/>
          <w:szCs w:val="24"/>
        </w:rPr>
        <w:tab/>
      </w:r>
      <w:r w:rsidR="004D4F90" w:rsidRPr="00D056A2">
        <w:rPr>
          <w:rFonts w:ascii="Times New Roman" w:hAnsi="Times New Roman" w:cs="Times New Roman"/>
          <w:sz w:val="24"/>
          <w:szCs w:val="24"/>
        </w:rPr>
        <w:tab/>
      </w:r>
      <w:r w:rsidR="004D4F90" w:rsidRPr="00D056A2">
        <w:rPr>
          <w:rFonts w:ascii="Times New Roman" w:hAnsi="Times New Roman" w:cs="Times New Roman"/>
          <w:b/>
          <w:sz w:val="24"/>
          <w:szCs w:val="24"/>
        </w:rPr>
        <w:t>nem minden projektnek van</w:t>
      </w:r>
    </w:p>
    <w:p w:rsidR="004D4F90" w:rsidRPr="00D056A2" w:rsidRDefault="004D4F90" w:rsidP="004D4F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>Cash flow 5 éves adatai</w:t>
      </w:r>
    </w:p>
    <w:p w:rsidR="004D4F90" w:rsidRPr="00D056A2" w:rsidRDefault="004D4F90" w:rsidP="004D4F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>Költséghaszon elemzés és érzékenység vizsgálat</w:t>
      </w:r>
    </w:p>
    <w:p w:rsidR="00D523DD" w:rsidRPr="00D056A2" w:rsidRDefault="00D523DD" w:rsidP="00D523DD">
      <w:pPr>
        <w:pStyle w:val="Listaszerbekezds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23DD" w:rsidRPr="00D056A2" w:rsidRDefault="00D523DD" w:rsidP="00B439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>Önkormányzati pályázatnál nincs pénzügyi terv, itt egyszerű módon történik</w:t>
      </w:r>
      <w:r w:rsidR="00B439B6" w:rsidRPr="00D056A2">
        <w:rPr>
          <w:rFonts w:ascii="Times New Roman" w:hAnsi="Times New Roman" w:cs="Times New Roman"/>
          <w:sz w:val="24"/>
          <w:szCs w:val="24"/>
        </w:rPr>
        <w:t xml:space="preserve"> tervezés</w:t>
      </w:r>
      <w:r w:rsidRPr="00D056A2">
        <w:rPr>
          <w:rFonts w:ascii="Times New Roman" w:hAnsi="Times New Roman" w:cs="Times New Roman"/>
          <w:sz w:val="24"/>
          <w:szCs w:val="24"/>
        </w:rPr>
        <w:t>. A közcélú projektek esetén nem készül eredmény terv, mérleg terv, cash flow kimutatás</w:t>
      </w:r>
      <w:r w:rsidR="000218C8" w:rsidRPr="00D056A2">
        <w:rPr>
          <w:rFonts w:ascii="Times New Roman" w:hAnsi="Times New Roman" w:cs="Times New Roman"/>
          <w:sz w:val="24"/>
          <w:szCs w:val="24"/>
        </w:rPr>
        <w:t>, a pénzügyi mutatókkal</w:t>
      </w:r>
      <w:r w:rsidR="00B439B6" w:rsidRPr="00D056A2">
        <w:rPr>
          <w:rFonts w:ascii="Times New Roman" w:hAnsi="Times New Roman" w:cs="Times New Roman"/>
          <w:sz w:val="24"/>
          <w:szCs w:val="24"/>
        </w:rPr>
        <w:t xml:space="preserve"> (NPV. PI)</w:t>
      </w:r>
      <w:r w:rsidR="000218C8" w:rsidRPr="00D056A2">
        <w:rPr>
          <w:rFonts w:ascii="Times New Roman" w:hAnsi="Times New Roman" w:cs="Times New Roman"/>
          <w:sz w:val="24"/>
          <w:szCs w:val="24"/>
        </w:rPr>
        <w:t xml:space="preserve"> nem</w:t>
      </w:r>
      <w:r w:rsidRPr="00D056A2">
        <w:rPr>
          <w:rFonts w:ascii="Times New Roman" w:hAnsi="Times New Roman" w:cs="Times New Roman"/>
          <w:sz w:val="24"/>
          <w:szCs w:val="24"/>
        </w:rPr>
        <w:t xml:space="preserve"> lehet számolni</w:t>
      </w:r>
      <w:r w:rsidR="000218C8" w:rsidRPr="00D056A2">
        <w:rPr>
          <w:rFonts w:ascii="Times New Roman" w:hAnsi="Times New Roman" w:cs="Times New Roman"/>
          <w:sz w:val="24"/>
          <w:szCs w:val="24"/>
        </w:rPr>
        <w:t>,</w:t>
      </w:r>
      <w:r w:rsidRPr="00D056A2">
        <w:rPr>
          <w:rFonts w:ascii="Times New Roman" w:hAnsi="Times New Roman" w:cs="Times New Roman"/>
          <w:sz w:val="24"/>
          <w:szCs w:val="24"/>
        </w:rPr>
        <w:t xml:space="preserve"> hiszen a projekt nem jövedelemtermelő. Tehát nem lesz </w:t>
      </w:r>
      <w:proofErr w:type="gramStart"/>
      <w:r w:rsidRPr="00D056A2">
        <w:rPr>
          <w:rFonts w:ascii="Times New Roman" w:hAnsi="Times New Roman" w:cs="Times New Roman"/>
          <w:sz w:val="24"/>
          <w:szCs w:val="24"/>
        </w:rPr>
        <w:t>realizálható</w:t>
      </w:r>
      <w:proofErr w:type="gramEnd"/>
      <w:r w:rsidRPr="00D056A2">
        <w:rPr>
          <w:rFonts w:ascii="Times New Roman" w:hAnsi="Times New Roman" w:cs="Times New Roman"/>
          <w:sz w:val="24"/>
          <w:szCs w:val="24"/>
        </w:rPr>
        <w:t xml:space="preserve"> bevétele. A közcélú projektekre költséghaszon elemzés és érzékenység vizsgálat sem vonatkozik.</w:t>
      </w:r>
    </w:p>
    <w:p w:rsidR="00B73952" w:rsidRPr="00D056A2" w:rsidRDefault="00B73952" w:rsidP="00B73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3952" w:rsidRPr="00D056A2" w:rsidRDefault="00B73952" w:rsidP="00B739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56A2">
        <w:rPr>
          <w:rFonts w:ascii="Times New Roman" w:hAnsi="Times New Roman" w:cs="Times New Roman"/>
          <w:b/>
          <w:sz w:val="24"/>
          <w:szCs w:val="24"/>
        </w:rPr>
        <w:t>4.1 Beruházási költségek becslése</w:t>
      </w:r>
    </w:p>
    <w:p w:rsidR="00B73952" w:rsidRPr="00D056A2" w:rsidRDefault="00B73952" w:rsidP="00B73952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 xml:space="preserve">Pályázati felhívás/útmutató </w:t>
      </w:r>
    </w:p>
    <w:p w:rsidR="00B73952" w:rsidRPr="00D056A2" w:rsidRDefault="00B73952" w:rsidP="00B73952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 xml:space="preserve">Pályázatonként mennyi lehet a max támogatási összeg </w:t>
      </w:r>
    </w:p>
    <w:p w:rsidR="00B73952" w:rsidRPr="00D056A2" w:rsidRDefault="00B73952" w:rsidP="00B73952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 xml:space="preserve">Mekkora támogatási keret állt rendelkezésre, milyen alapból </w:t>
      </w:r>
      <w:proofErr w:type="gramStart"/>
      <w:r w:rsidRPr="00D056A2">
        <w:rPr>
          <w:rFonts w:ascii="Times New Roman" w:hAnsi="Times New Roman" w:cs="Times New Roman"/>
          <w:sz w:val="24"/>
          <w:szCs w:val="24"/>
        </w:rPr>
        <w:t>finanszírozták</w:t>
      </w:r>
      <w:proofErr w:type="gramEnd"/>
      <w:r w:rsidRPr="00D056A2">
        <w:rPr>
          <w:rFonts w:ascii="Times New Roman" w:hAnsi="Times New Roman" w:cs="Times New Roman"/>
          <w:sz w:val="24"/>
          <w:szCs w:val="24"/>
        </w:rPr>
        <w:t xml:space="preserve"> a pályázatot </w:t>
      </w:r>
    </w:p>
    <w:p w:rsidR="00B73952" w:rsidRPr="00D056A2" w:rsidRDefault="00B73952" w:rsidP="00B73952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>Mennyire pályázott a cég</w:t>
      </w:r>
    </w:p>
    <w:p w:rsidR="00B73952" w:rsidRPr="00D056A2" w:rsidRDefault="00B73952" w:rsidP="00B73952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 xml:space="preserve">Ide kerülnek a projektre jellemző </w:t>
      </w:r>
      <w:proofErr w:type="gramStart"/>
      <w:r w:rsidRPr="00D056A2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D056A2">
        <w:rPr>
          <w:rFonts w:ascii="Times New Roman" w:hAnsi="Times New Roman" w:cs="Times New Roman"/>
          <w:sz w:val="24"/>
          <w:szCs w:val="24"/>
        </w:rPr>
        <w:t xml:space="preserve"> pénzügyi tételek</w:t>
      </w:r>
    </w:p>
    <w:p w:rsidR="0008298A" w:rsidRPr="00D056A2" w:rsidRDefault="0008298A" w:rsidP="00B73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3952" w:rsidRPr="00D056A2" w:rsidRDefault="00B73952" w:rsidP="00B439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 xml:space="preserve">A költségvetés tervezésénél figyelembe kell venni </w:t>
      </w:r>
      <w:r w:rsidR="0008298A" w:rsidRPr="00D056A2">
        <w:rPr>
          <w:rFonts w:ascii="Times New Roman" w:hAnsi="Times New Roman" w:cs="Times New Roman"/>
          <w:sz w:val="24"/>
          <w:szCs w:val="24"/>
        </w:rPr>
        <w:t xml:space="preserve">a költségkategóriák szerinti %-os korlátokat. Ez megakadályozza a túlfinanszírozás lehetőségét. </w:t>
      </w:r>
      <w:r w:rsidR="00D523DD" w:rsidRPr="00D056A2">
        <w:rPr>
          <w:rFonts w:ascii="Times New Roman" w:hAnsi="Times New Roman" w:cs="Times New Roman"/>
          <w:sz w:val="24"/>
          <w:szCs w:val="24"/>
        </w:rPr>
        <w:t>Költségkategóriákról táblázat.</w:t>
      </w:r>
    </w:p>
    <w:p w:rsidR="0008298A" w:rsidRPr="00D056A2" w:rsidRDefault="0008298A" w:rsidP="00B73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298A" w:rsidRPr="00D056A2" w:rsidRDefault="00FF1B32" w:rsidP="00FF1B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56A2">
        <w:rPr>
          <w:rFonts w:ascii="Times New Roman" w:hAnsi="Times New Roman" w:cs="Times New Roman"/>
          <w:b/>
          <w:sz w:val="24"/>
          <w:szCs w:val="24"/>
        </w:rPr>
        <w:t xml:space="preserve">4.2 </w:t>
      </w:r>
      <w:r w:rsidR="0008298A" w:rsidRPr="00D056A2">
        <w:rPr>
          <w:rFonts w:ascii="Times New Roman" w:hAnsi="Times New Roman" w:cs="Times New Roman"/>
          <w:b/>
          <w:sz w:val="24"/>
          <w:szCs w:val="24"/>
        </w:rPr>
        <w:t>Pénzügyi költségek összegzése</w:t>
      </w:r>
    </w:p>
    <w:p w:rsidR="0008298A" w:rsidRPr="00D056A2" w:rsidRDefault="0008298A" w:rsidP="0008298A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>A pénzügyi költségek megmutatják, hogy a projekt indításakor milyen egyszeri és folyamatos költségekkel kell számolni.</w:t>
      </w:r>
    </w:p>
    <w:p w:rsidR="0008298A" w:rsidRPr="00D056A2" w:rsidRDefault="0008298A" w:rsidP="0008298A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>Az útmutatóban megtalálhatóak a projekt elszámolható- és el nem számolható költségei</w:t>
      </w:r>
    </w:p>
    <w:p w:rsidR="0008298A" w:rsidRPr="00D056A2" w:rsidRDefault="0008298A" w:rsidP="0008298A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>A projekt elszámolható költségeiről táblázat található az útmutatóban</w:t>
      </w:r>
    </w:p>
    <w:p w:rsidR="0008298A" w:rsidRPr="00D056A2" w:rsidRDefault="0008298A" w:rsidP="0008298A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 w:rsidRPr="00D056A2">
        <w:rPr>
          <w:rFonts w:ascii="Times New Roman" w:hAnsi="Times New Roman" w:cs="Times New Roman"/>
          <w:sz w:val="24"/>
          <w:szCs w:val="24"/>
        </w:rPr>
        <w:t>indikátor</w:t>
      </w:r>
      <w:proofErr w:type="gramEnd"/>
      <w:r w:rsidRPr="00D056A2">
        <w:rPr>
          <w:rFonts w:ascii="Times New Roman" w:hAnsi="Times New Roman" w:cs="Times New Roman"/>
          <w:sz w:val="24"/>
          <w:szCs w:val="24"/>
        </w:rPr>
        <w:t>táblát mellékletben csatolni kell az esettanulmányhoz, ez lesz az egyes és kettes melléklet</w:t>
      </w:r>
    </w:p>
    <w:p w:rsidR="0008298A" w:rsidRPr="00D056A2" w:rsidRDefault="0008298A" w:rsidP="0008298A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>A részletes költségvetés be kell, hogy kerüljön a mellékletbe</w:t>
      </w:r>
    </w:p>
    <w:p w:rsidR="0008298A" w:rsidRPr="00D056A2" w:rsidRDefault="0008298A" w:rsidP="0008298A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>Tételesen le kell írni a projekt elszámolható költségeit</w:t>
      </w:r>
    </w:p>
    <w:p w:rsidR="0008298A" w:rsidRPr="00D056A2" w:rsidRDefault="0008298A" w:rsidP="0008298A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 xml:space="preserve">projekt megvalósításához igénybe vett szolgáltatás </w:t>
      </w:r>
    </w:p>
    <w:p w:rsidR="0008298A" w:rsidRPr="00D056A2" w:rsidRDefault="0008298A" w:rsidP="0008298A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>egyéb költségek</w:t>
      </w:r>
    </w:p>
    <w:p w:rsidR="0008298A" w:rsidRPr="00D056A2" w:rsidRDefault="0008298A" w:rsidP="0008298A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 xml:space="preserve">projektmenedzser költségei </w:t>
      </w:r>
    </w:p>
    <w:p w:rsidR="0008298A" w:rsidRPr="00D056A2" w:rsidRDefault="009C65B3" w:rsidP="0008298A">
      <w:pPr>
        <w:pStyle w:val="Listaszerbekezds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b/>
          <w:sz w:val="24"/>
          <w:szCs w:val="24"/>
        </w:rPr>
        <w:t>+</w:t>
      </w:r>
      <w:r w:rsidRPr="00D056A2">
        <w:rPr>
          <w:rFonts w:ascii="Times New Roman" w:hAnsi="Times New Roman" w:cs="Times New Roman"/>
          <w:sz w:val="24"/>
          <w:szCs w:val="24"/>
        </w:rPr>
        <w:t xml:space="preserve"> magyarázat, hogy melyik a legnagyobb tétel, milyen arányban vannak a költségek… (költségvetés szöveges indoklásában megtalálható)</w:t>
      </w:r>
    </w:p>
    <w:p w:rsidR="009C65B3" w:rsidRPr="00D056A2" w:rsidRDefault="009C65B3" w:rsidP="009C6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5B3" w:rsidRPr="00D056A2" w:rsidRDefault="009C65B3" w:rsidP="009C6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i/>
          <w:sz w:val="24"/>
          <w:szCs w:val="24"/>
        </w:rPr>
        <w:t xml:space="preserve">A megítélhető támogatási összeg meghatározása – </w:t>
      </w:r>
      <w:r w:rsidRPr="00D056A2">
        <w:rPr>
          <w:rFonts w:ascii="Times New Roman" w:hAnsi="Times New Roman" w:cs="Times New Roman"/>
          <w:sz w:val="24"/>
          <w:szCs w:val="24"/>
        </w:rPr>
        <w:t xml:space="preserve">pontot a 4. pont, pénzügyi terv pontba kell kifejteni. </w:t>
      </w:r>
    </w:p>
    <w:p w:rsidR="009C65B3" w:rsidRPr="00D056A2" w:rsidRDefault="009C65B3" w:rsidP="009C6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5B3" w:rsidRPr="00D056A2" w:rsidRDefault="009C65B3" w:rsidP="009C65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56A2">
        <w:rPr>
          <w:rFonts w:ascii="Times New Roman" w:hAnsi="Times New Roman" w:cs="Times New Roman"/>
          <w:b/>
          <w:sz w:val="24"/>
          <w:szCs w:val="24"/>
        </w:rPr>
        <w:t>4.3 Forrásvizsgálat</w:t>
      </w:r>
    </w:p>
    <w:p w:rsidR="009C65B3" w:rsidRPr="00D056A2" w:rsidRDefault="00FF1B32" w:rsidP="009C65B3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1886537</wp:posOffset>
                </wp:positionH>
                <wp:positionV relativeFrom="paragraph">
                  <wp:posOffset>108190</wp:posOffset>
                </wp:positionV>
                <wp:extent cx="293298" cy="0"/>
                <wp:effectExtent l="0" t="76200" r="12065" b="114300"/>
                <wp:wrapNone/>
                <wp:docPr id="1" name="Egyenes összekötő nyíll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298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4B465F" id="Egyenes összekötő nyíllal 1" o:spid="_x0000_s1026" type="#_x0000_t32" style="position:absolute;margin-left:148.55pt;margin-top:8.5pt;width:23.1pt;height: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" strokecolor="black [3040]">
                <v:stroke endarrow="open"/>
              </v:shape>
            </w:pict>
          </mc:Fallback>
        </mc:AlternateContent>
      </w:r>
      <w:r w:rsidR="009C65B3" w:rsidRPr="00D056A2">
        <w:rPr>
          <w:rFonts w:ascii="Times New Roman" w:hAnsi="Times New Roman" w:cs="Times New Roman"/>
          <w:sz w:val="24"/>
          <w:szCs w:val="24"/>
        </w:rPr>
        <w:t xml:space="preserve">Támogatási szerződés </w:t>
      </w:r>
      <w:r w:rsidR="009C65B3" w:rsidRPr="00D056A2">
        <w:rPr>
          <w:rFonts w:ascii="Times New Roman" w:hAnsi="Times New Roman" w:cs="Times New Roman"/>
          <w:sz w:val="24"/>
          <w:szCs w:val="24"/>
        </w:rPr>
        <w:tab/>
        <w:t xml:space="preserve">hogy tevődik összeg a projekt költségvetése: </w:t>
      </w:r>
    </w:p>
    <w:p w:rsidR="009C65B3" w:rsidRPr="00D056A2" w:rsidRDefault="009C65B3" w:rsidP="009C65B3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lastRenderedPageBreak/>
        <w:t>saját forrás</w:t>
      </w:r>
      <w:r w:rsidR="00D523DD" w:rsidRPr="00D056A2">
        <w:rPr>
          <w:rFonts w:ascii="Times New Roman" w:hAnsi="Times New Roman" w:cs="Times New Roman"/>
          <w:sz w:val="24"/>
          <w:szCs w:val="24"/>
        </w:rPr>
        <w:t xml:space="preserve"> / önerő</w:t>
      </w:r>
    </w:p>
    <w:p w:rsidR="009C65B3" w:rsidRPr="00D056A2" w:rsidRDefault="009C65B3" w:rsidP="009C65B3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>hitel</w:t>
      </w:r>
    </w:p>
    <w:p w:rsidR="009C65B3" w:rsidRPr="00D056A2" w:rsidRDefault="009C65B3" w:rsidP="009C65B3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>támogatás</w:t>
      </w:r>
    </w:p>
    <w:p w:rsidR="009C65B3" w:rsidRPr="00D056A2" w:rsidRDefault="009C65B3" w:rsidP="009C65B3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>Támogatási előleg max 25% vagy max 35% lehet</w:t>
      </w:r>
    </w:p>
    <w:p w:rsidR="009C65B3" w:rsidRPr="00D056A2" w:rsidRDefault="0057704C" w:rsidP="009C65B3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>Pénzügyi teljesítménymutatók</w:t>
      </w:r>
    </w:p>
    <w:p w:rsidR="0057704C" w:rsidRPr="00D056A2" w:rsidRDefault="0057704C" w:rsidP="0057704C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 xml:space="preserve">A közcélú, nem jövedelemtermelő projektek esetén a pénzügyi teljesítmény mutatókat nem lehet számolni. Ezen projektekben a túltámogatás lehetősége nem merül fel. </w:t>
      </w:r>
    </w:p>
    <w:p w:rsidR="0057704C" w:rsidRPr="00D056A2" w:rsidRDefault="0057704C" w:rsidP="0057704C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 xml:space="preserve">Pénzügyi megtérülés főbb mutatószámai </w:t>
      </w:r>
    </w:p>
    <w:p w:rsidR="0057704C" w:rsidRPr="00D056A2" w:rsidRDefault="0057704C" w:rsidP="0057704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 xml:space="preserve">Nettó jelenérték mutató </w:t>
      </w:r>
      <w:r w:rsidRPr="00D056A2">
        <w:rPr>
          <w:rFonts w:ascii="Times New Roman" w:hAnsi="Times New Roman" w:cs="Times New Roman"/>
          <w:b/>
          <w:sz w:val="24"/>
          <w:szCs w:val="24"/>
        </w:rPr>
        <w:t>FNPV</w:t>
      </w:r>
    </w:p>
    <w:p w:rsidR="009C65B3" w:rsidRPr="00D056A2" w:rsidRDefault="0057704C" w:rsidP="0008298A">
      <w:pPr>
        <w:pStyle w:val="Listaszerbekezds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 xml:space="preserve">Megmutatja a projekt időtartama alatt keletkező egyszeri ráfordítás és pénzáramok (bevételek és kiadások) jelenre diszkontált értékét. </w:t>
      </w:r>
    </w:p>
    <w:p w:rsidR="0057704C" w:rsidRPr="00D056A2" w:rsidRDefault="0057704C" w:rsidP="0057704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 xml:space="preserve">Belső megtérülési ráta/diszkont kamatláb </w:t>
      </w:r>
      <w:r w:rsidRPr="00D056A2">
        <w:rPr>
          <w:rFonts w:ascii="Times New Roman" w:hAnsi="Times New Roman" w:cs="Times New Roman"/>
          <w:b/>
          <w:sz w:val="24"/>
          <w:szCs w:val="24"/>
        </w:rPr>
        <w:t>FRR</w:t>
      </w:r>
    </w:p>
    <w:p w:rsidR="0057704C" w:rsidRPr="00D056A2" w:rsidRDefault="0057704C" w:rsidP="0057704C">
      <w:pPr>
        <w:pStyle w:val="Listaszerbekezds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D056A2">
        <w:rPr>
          <w:rFonts w:ascii="Times New Roman" w:hAnsi="Times New Roman" w:cs="Times New Roman"/>
          <w:sz w:val="24"/>
          <w:szCs w:val="24"/>
        </w:rPr>
        <w:t xml:space="preserve">Azt a diszkontrátát fejezi ki, amelynél az </w:t>
      </w:r>
      <w:r w:rsidRPr="00D056A2">
        <w:rPr>
          <w:rFonts w:ascii="Times New Roman" w:hAnsi="Times New Roman" w:cs="Times New Roman"/>
          <w:b/>
          <w:sz w:val="24"/>
          <w:szCs w:val="24"/>
        </w:rPr>
        <w:t>FNPV</w:t>
      </w:r>
      <w:r w:rsidRPr="00D056A2">
        <w:rPr>
          <w:rFonts w:ascii="Times New Roman" w:hAnsi="Times New Roman" w:cs="Times New Roman"/>
          <w:sz w:val="24"/>
          <w:szCs w:val="24"/>
        </w:rPr>
        <w:t xml:space="preserve"> = 0.</w:t>
      </w:r>
    </w:p>
    <w:p w:rsidR="0057704C" w:rsidRPr="00D056A2" w:rsidRDefault="0057704C" w:rsidP="0057704C">
      <w:pPr>
        <w:pStyle w:val="Listaszerbekezds"/>
        <w:spacing w:after="0" w:line="240" w:lineRule="auto"/>
        <w:ind w:left="1440"/>
        <w:rPr>
          <w:b/>
          <w:sz w:val="24"/>
          <w:szCs w:val="24"/>
        </w:rPr>
      </w:pPr>
      <w:r w:rsidRPr="00D056A2">
        <w:rPr>
          <w:b/>
          <w:sz w:val="24"/>
          <w:szCs w:val="24"/>
        </w:rPr>
        <w:t xml:space="preserve">Nem minden projektnél számítható! </w:t>
      </w:r>
      <w:bookmarkStart w:id="0" w:name="_GoBack"/>
      <w:bookmarkEnd w:id="0"/>
    </w:p>
    <w:sectPr w:rsidR="0057704C" w:rsidRPr="00D056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0516"/>
    <w:multiLevelType w:val="hybridMultilevel"/>
    <w:tmpl w:val="BF48E5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0350A"/>
    <w:multiLevelType w:val="hybridMultilevel"/>
    <w:tmpl w:val="9C70DF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12D54"/>
    <w:multiLevelType w:val="hybridMultilevel"/>
    <w:tmpl w:val="72386662"/>
    <w:lvl w:ilvl="0" w:tplc="040E000B">
      <w:start w:val="1"/>
      <w:numFmt w:val="bullet"/>
      <w:lvlText w:val=""/>
      <w:lvlJc w:val="left"/>
      <w:pPr>
        <w:ind w:left="567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8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5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2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9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7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436" w:hanging="360"/>
      </w:pPr>
      <w:rPr>
        <w:rFonts w:ascii="Wingdings" w:hAnsi="Wingdings" w:hint="default"/>
      </w:rPr>
    </w:lvl>
  </w:abstractNum>
  <w:abstractNum w:abstractNumId="3" w15:restartNumberingAfterBreak="0">
    <w:nsid w:val="1D904483"/>
    <w:multiLevelType w:val="hybridMultilevel"/>
    <w:tmpl w:val="1D908F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00135"/>
    <w:multiLevelType w:val="hybridMultilevel"/>
    <w:tmpl w:val="F21A8116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2F3452F"/>
    <w:multiLevelType w:val="hybridMultilevel"/>
    <w:tmpl w:val="9FCCE5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3599D"/>
    <w:multiLevelType w:val="hybridMultilevel"/>
    <w:tmpl w:val="312A9938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F90"/>
    <w:rsid w:val="000218C8"/>
    <w:rsid w:val="0008298A"/>
    <w:rsid w:val="00264B20"/>
    <w:rsid w:val="0043788E"/>
    <w:rsid w:val="004C113C"/>
    <w:rsid w:val="004D4F90"/>
    <w:rsid w:val="0057704C"/>
    <w:rsid w:val="008D6604"/>
    <w:rsid w:val="009C65B3"/>
    <w:rsid w:val="00B439B6"/>
    <w:rsid w:val="00B73952"/>
    <w:rsid w:val="00D056A2"/>
    <w:rsid w:val="00D523DD"/>
    <w:rsid w:val="00FF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B96E58-1ECC-4DC4-84E2-7255BAE7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D4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330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E6430</dc:creator>
  <cp:lastModifiedBy>KKati</cp:lastModifiedBy>
  <cp:revision>4</cp:revision>
  <dcterms:created xsi:type="dcterms:W3CDTF">2018-08-28T12:08:00Z</dcterms:created>
  <dcterms:modified xsi:type="dcterms:W3CDTF">2021-09-01T12:42:00Z</dcterms:modified>
</cp:coreProperties>
</file>